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4109A">
      <w:pPr>
        <w:pStyle w:val="7"/>
        <w:spacing w:line="500" w:lineRule="exact"/>
        <w:jc w:val="center"/>
        <w:outlineLvl w:val="1"/>
        <w:rPr>
          <w:rFonts w:ascii="仿宋_GB2312" w:hAnsi="仿宋_GB2312" w:eastAsia="仿宋_GB2312" w:cs="仿宋_GB2312"/>
          <w:color w:val="auto"/>
          <w:highlight w:val="none"/>
        </w:rPr>
      </w:pPr>
      <w:r>
        <w:rPr>
          <w:rFonts w:ascii="仿宋_GB2312" w:hAnsi="仿宋_GB2312" w:eastAsia="仿宋_GB2312" w:cs="仿宋_GB2312"/>
          <w:b/>
          <w:color w:val="auto"/>
          <w:sz w:val="36"/>
          <w:highlight w:val="none"/>
        </w:rPr>
        <w:t>第七章 拟签订采购合同文本</w:t>
      </w:r>
    </w:p>
    <w:p w14:paraId="673E8D72">
      <w:pPr>
        <w:pStyle w:val="7"/>
        <w:spacing w:line="500" w:lineRule="exact"/>
        <w:rPr>
          <w:rFonts w:ascii="仿宋_GB2312" w:hAnsi="仿宋_GB2312" w:eastAsia="仿宋_GB2312" w:cs="仿宋_GB2312"/>
          <w:color w:val="auto"/>
          <w:highlight w:val="none"/>
        </w:rPr>
      </w:pPr>
    </w:p>
    <w:p w14:paraId="01FA3D88">
      <w:pPr>
        <w:spacing w:line="500" w:lineRule="exact"/>
        <w:ind w:firstLine="578" w:firstLineChars="200"/>
        <w:jc w:val="center"/>
        <w:rPr>
          <w:rFonts w:hint="eastAsia" w:ascii="仿宋_GB2312" w:hAnsi="仿宋_GB2312" w:eastAsia="仿宋_GB2312" w:cs="仿宋_GB2312"/>
          <w:b/>
          <w:bCs/>
          <w:color w:val="auto"/>
          <w:spacing w:val="4"/>
          <w:sz w:val="28"/>
          <w:szCs w:val="28"/>
          <w:highlight w:val="none"/>
        </w:rPr>
      </w:pPr>
      <w:r>
        <w:rPr>
          <w:rFonts w:hint="eastAsia" w:ascii="仿宋_GB2312" w:hAnsi="仿宋_GB2312" w:eastAsia="仿宋_GB2312" w:cs="仿宋_GB2312"/>
          <w:b/>
          <w:bCs/>
          <w:color w:val="auto"/>
          <w:spacing w:val="4"/>
          <w:sz w:val="28"/>
          <w:szCs w:val="28"/>
          <w:highlight w:val="none"/>
        </w:rPr>
        <w:t>委托合同</w:t>
      </w:r>
    </w:p>
    <w:p w14:paraId="3836FBA1">
      <w:pPr>
        <w:spacing w:line="500" w:lineRule="exact"/>
        <w:ind w:firstLine="496" w:firstLineChars="200"/>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 xml:space="preserve">甲方:西安市红会医院 </w:t>
      </w:r>
      <w:r>
        <w:rPr>
          <w:rFonts w:hint="eastAsia" w:ascii="仿宋_GB2312" w:hAnsi="仿宋_GB2312" w:eastAsia="仿宋_GB2312" w:cs="仿宋_GB2312"/>
          <w:color w:val="auto"/>
          <w:spacing w:val="4"/>
          <w:sz w:val="24"/>
          <w:highlight w:val="none"/>
        </w:rPr>
        <w:tab/>
      </w:r>
    </w:p>
    <w:p w14:paraId="7AD98A38">
      <w:pPr>
        <w:spacing w:line="500" w:lineRule="exact"/>
        <w:ind w:firstLine="496" w:firstLineChars="200"/>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乙方:四川华兑科技有限公司</w:t>
      </w:r>
    </w:p>
    <w:p w14:paraId="555C23E6">
      <w:pPr>
        <w:spacing w:line="500" w:lineRule="exact"/>
        <w:ind w:firstLine="496" w:firstLineChars="200"/>
        <w:rPr>
          <w:rFonts w:hint="eastAsia" w:ascii="仿宋_GB2312" w:hAnsi="仿宋_GB2312" w:eastAsia="仿宋_GB2312" w:cs="仿宋_GB2312"/>
          <w:color w:val="auto"/>
          <w:spacing w:val="4"/>
          <w:sz w:val="24"/>
          <w:highlight w:val="none"/>
        </w:rPr>
      </w:pPr>
    </w:p>
    <w:p w14:paraId="11EF8668">
      <w:pPr>
        <w:jc w:val="center"/>
        <w:rPr>
          <w:rFonts w:hint="eastAsia" w:ascii="仿宋_GB2312" w:hAnsi="仿宋" w:eastAsia="仿宋_GB2312" w:cs="宋体"/>
          <w:b/>
          <w:bCs/>
          <w:caps/>
          <w:color w:val="auto"/>
          <w:sz w:val="48"/>
          <w:szCs w:val="48"/>
          <w:highlight w:val="none"/>
        </w:rPr>
      </w:pPr>
      <w:r>
        <w:rPr>
          <w:rFonts w:hint="eastAsia" w:ascii="仿宋_GB2312" w:hAnsi="仿宋" w:eastAsia="仿宋_GB2312" w:cs="宋体"/>
          <w:b/>
          <w:bCs/>
          <w:caps/>
          <w:color w:val="auto"/>
          <w:sz w:val="48"/>
          <w:szCs w:val="48"/>
          <w:highlight w:val="none"/>
        </w:rPr>
        <w:t>西安市红会医院</w:t>
      </w:r>
    </w:p>
    <w:p w14:paraId="5252BF59">
      <w:pPr>
        <w:jc w:val="center"/>
        <w:rPr>
          <w:rFonts w:hint="eastAsia" w:ascii="仿宋_GB2312" w:hAnsi="仿宋" w:eastAsia="仿宋_GB2312" w:cs="宋体"/>
          <w:b/>
          <w:bCs/>
          <w:caps/>
          <w:color w:val="auto"/>
          <w:sz w:val="48"/>
          <w:szCs w:val="48"/>
          <w:highlight w:val="none"/>
        </w:rPr>
      </w:pPr>
      <w:r>
        <w:rPr>
          <w:rFonts w:hint="eastAsia" w:ascii="仿宋_GB2312" w:hAnsi="仿宋" w:eastAsia="仿宋_GB2312" w:cs="宋体"/>
          <w:b/>
          <w:bCs/>
          <w:caps/>
          <w:color w:val="auto"/>
          <w:sz w:val="48"/>
          <w:szCs w:val="48"/>
          <w:highlight w:val="none"/>
        </w:rPr>
        <w:t>XXX采购</w:t>
      </w:r>
    </w:p>
    <w:p w14:paraId="731419F5">
      <w:pPr>
        <w:snapToGrid w:val="0"/>
        <w:spacing w:line="240" w:lineRule="atLeast"/>
        <w:jc w:val="center"/>
        <w:rPr>
          <w:rFonts w:hint="eastAsia" w:ascii="仿宋_GB2312" w:hAnsi="仿宋" w:eastAsia="仿宋_GB2312" w:cs="宋体"/>
          <w:color w:val="auto"/>
          <w:sz w:val="52"/>
          <w:szCs w:val="52"/>
          <w:highlight w:val="none"/>
        </w:rPr>
      </w:pPr>
    </w:p>
    <w:p w14:paraId="4B8D5E7B">
      <w:pPr>
        <w:snapToGrid w:val="0"/>
        <w:spacing w:line="240" w:lineRule="atLeast"/>
        <w:jc w:val="center"/>
        <w:rPr>
          <w:rFonts w:hint="eastAsia" w:ascii="仿宋_GB2312" w:hAnsi="仿宋" w:eastAsia="仿宋_GB2312" w:cs="宋体"/>
          <w:color w:val="auto"/>
          <w:sz w:val="52"/>
          <w:szCs w:val="52"/>
          <w:highlight w:val="none"/>
        </w:rPr>
      </w:pPr>
    </w:p>
    <w:p w14:paraId="3AF677F8">
      <w:pPr>
        <w:snapToGrid w:val="0"/>
        <w:spacing w:line="240" w:lineRule="atLeast"/>
        <w:jc w:val="center"/>
        <w:rPr>
          <w:rFonts w:hint="eastAsia" w:ascii="仿宋_GB2312" w:hAnsi="仿宋" w:eastAsia="仿宋_GB2312" w:cs="宋体"/>
          <w:color w:val="auto"/>
          <w:sz w:val="52"/>
          <w:szCs w:val="52"/>
          <w:highlight w:val="none"/>
        </w:rPr>
      </w:pPr>
    </w:p>
    <w:p w14:paraId="2B5FABF6">
      <w:pPr>
        <w:snapToGrid w:val="0"/>
        <w:spacing w:line="240" w:lineRule="atLeast"/>
        <w:jc w:val="center"/>
        <w:rPr>
          <w:rFonts w:hint="eastAsia" w:ascii="仿宋_GB2312" w:hAnsi="仿宋" w:eastAsia="仿宋_GB2312" w:cs="宋体"/>
          <w:color w:val="auto"/>
          <w:sz w:val="52"/>
          <w:szCs w:val="52"/>
          <w:highlight w:val="none"/>
        </w:rPr>
      </w:pPr>
    </w:p>
    <w:p w14:paraId="00A225AA">
      <w:pPr>
        <w:snapToGrid w:val="0"/>
        <w:spacing w:line="240" w:lineRule="atLeast"/>
        <w:jc w:val="center"/>
        <w:rPr>
          <w:rFonts w:hint="eastAsia" w:ascii="仿宋_GB2312" w:hAnsi="仿宋" w:eastAsia="仿宋_GB2312" w:cs="宋体"/>
          <w:color w:val="auto"/>
          <w:sz w:val="52"/>
          <w:szCs w:val="52"/>
          <w:highlight w:val="none"/>
        </w:rPr>
      </w:pPr>
      <w:r>
        <w:rPr>
          <w:rFonts w:hint="eastAsia" w:ascii="仿宋_GB2312" w:hAnsi="仿宋" w:eastAsia="仿宋_GB2312" w:cs="宋体"/>
          <w:color w:val="auto"/>
          <w:sz w:val="52"/>
          <w:szCs w:val="52"/>
          <w:highlight w:val="none"/>
        </w:rPr>
        <w:t>供</w:t>
      </w:r>
    </w:p>
    <w:p w14:paraId="76D51233">
      <w:pPr>
        <w:snapToGrid w:val="0"/>
        <w:spacing w:line="240" w:lineRule="atLeast"/>
        <w:jc w:val="center"/>
        <w:rPr>
          <w:rFonts w:hint="eastAsia" w:ascii="仿宋_GB2312" w:hAnsi="仿宋" w:eastAsia="仿宋_GB2312" w:cs="宋体"/>
          <w:color w:val="auto"/>
          <w:sz w:val="52"/>
          <w:szCs w:val="52"/>
          <w:highlight w:val="none"/>
        </w:rPr>
      </w:pPr>
      <w:r>
        <w:rPr>
          <w:rFonts w:hint="eastAsia" w:ascii="仿宋_GB2312" w:hAnsi="仿宋" w:eastAsia="仿宋_GB2312" w:cs="宋体"/>
          <w:color w:val="auto"/>
          <w:sz w:val="52"/>
          <w:szCs w:val="52"/>
          <w:highlight w:val="none"/>
        </w:rPr>
        <w:t>货</w:t>
      </w:r>
    </w:p>
    <w:p w14:paraId="1192E203">
      <w:pPr>
        <w:snapToGrid w:val="0"/>
        <w:spacing w:line="240" w:lineRule="atLeast"/>
        <w:jc w:val="center"/>
        <w:rPr>
          <w:rFonts w:hint="eastAsia" w:ascii="仿宋_GB2312" w:hAnsi="仿宋" w:eastAsia="仿宋_GB2312" w:cs="宋体"/>
          <w:color w:val="auto"/>
          <w:sz w:val="52"/>
          <w:szCs w:val="52"/>
          <w:highlight w:val="none"/>
        </w:rPr>
      </w:pPr>
      <w:r>
        <w:rPr>
          <w:rFonts w:hint="eastAsia" w:ascii="仿宋_GB2312" w:hAnsi="仿宋" w:eastAsia="仿宋_GB2312" w:cs="宋体"/>
          <w:color w:val="auto"/>
          <w:sz w:val="52"/>
          <w:szCs w:val="52"/>
          <w:highlight w:val="none"/>
        </w:rPr>
        <w:t>合</w:t>
      </w:r>
    </w:p>
    <w:p w14:paraId="49056C07">
      <w:pPr>
        <w:snapToGrid w:val="0"/>
        <w:spacing w:line="240" w:lineRule="atLeast"/>
        <w:jc w:val="center"/>
        <w:rPr>
          <w:rFonts w:hint="eastAsia" w:ascii="仿宋_GB2312" w:hAnsi="仿宋" w:eastAsia="仿宋_GB2312" w:cs="宋体"/>
          <w:color w:val="auto"/>
          <w:sz w:val="52"/>
          <w:szCs w:val="52"/>
          <w:highlight w:val="none"/>
        </w:rPr>
      </w:pPr>
      <w:r>
        <w:rPr>
          <w:rFonts w:hint="eastAsia" w:ascii="仿宋_GB2312" w:hAnsi="仿宋" w:eastAsia="仿宋_GB2312" w:cs="宋体"/>
          <w:color w:val="auto"/>
          <w:sz w:val="52"/>
          <w:szCs w:val="52"/>
          <w:highlight w:val="none"/>
        </w:rPr>
        <w:t>同</w:t>
      </w:r>
    </w:p>
    <w:p w14:paraId="5D49E1DB">
      <w:pPr>
        <w:spacing w:line="240" w:lineRule="atLeast"/>
        <w:rPr>
          <w:rFonts w:hint="eastAsia" w:ascii="仿宋_GB2312" w:hAnsi="仿宋" w:eastAsia="仿宋_GB2312" w:cs="宋体"/>
          <w:color w:val="auto"/>
          <w:sz w:val="32"/>
          <w:szCs w:val="32"/>
          <w:highlight w:val="none"/>
        </w:rPr>
      </w:pPr>
    </w:p>
    <w:p w14:paraId="439A6559">
      <w:pPr>
        <w:spacing w:line="240" w:lineRule="atLeast"/>
        <w:ind w:firstLine="2080" w:firstLineChars="650"/>
        <w:rPr>
          <w:rFonts w:hint="eastAsia" w:ascii="仿宋_GB2312" w:hAnsi="仿宋" w:eastAsia="仿宋_GB2312" w:cs="宋体"/>
          <w:color w:val="auto"/>
          <w:sz w:val="32"/>
          <w:szCs w:val="32"/>
          <w:highlight w:val="none"/>
        </w:rPr>
      </w:pPr>
    </w:p>
    <w:p w14:paraId="30991FE7">
      <w:pPr>
        <w:spacing w:line="240" w:lineRule="atLeast"/>
        <w:ind w:firstLine="2080" w:firstLineChars="650"/>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甲  方：</w:t>
      </w:r>
    </w:p>
    <w:p w14:paraId="3411506E">
      <w:pPr>
        <w:tabs>
          <w:tab w:val="left" w:pos="480"/>
        </w:tabs>
        <w:spacing w:line="240" w:lineRule="atLeast"/>
        <w:ind w:firstLine="640" w:firstLineChars="200"/>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乙  方：</w:t>
      </w:r>
    </w:p>
    <w:p w14:paraId="7C1B9B27">
      <w:pPr>
        <w:spacing w:line="240" w:lineRule="atLeast"/>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w:t>
      </w:r>
    </w:p>
    <w:p w14:paraId="2AAEBB4C">
      <w:pPr>
        <w:spacing w:line="240" w:lineRule="atLeast"/>
        <w:jc w:val="center"/>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年    月</w:t>
      </w:r>
    </w:p>
    <w:p w14:paraId="12FCD6B3">
      <w:pPr>
        <w:spacing w:line="240" w:lineRule="atLeast"/>
        <w:jc w:val="center"/>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中国  西安</w:t>
      </w:r>
    </w:p>
    <w:p w14:paraId="4C4E2B74">
      <w:pPr>
        <w:pStyle w:val="2"/>
        <w:ind w:left="0"/>
        <w:jc w:val="center"/>
        <w:rPr>
          <w:rFonts w:hint="eastAsia" w:ascii="仿宋_GB2312" w:hAnsi="仿宋" w:eastAsia="仿宋_GB2312" w:cs="宋体"/>
          <w:color w:val="auto"/>
          <w:sz w:val="28"/>
          <w:szCs w:val="28"/>
          <w:highlight w:val="none"/>
        </w:rPr>
      </w:pPr>
      <w:r>
        <w:rPr>
          <w:rFonts w:hint="eastAsia" w:ascii="仿宋_GB2312" w:hAnsi="仿宋" w:eastAsia="仿宋_GB2312" w:cs="宋体"/>
          <w:b/>
          <w:color w:val="auto"/>
          <w:sz w:val="32"/>
          <w:szCs w:val="32"/>
          <w:highlight w:val="none"/>
        </w:rPr>
        <w:t>供 货 合 同</w:t>
      </w:r>
    </w:p>
    <w:p w14:paraId="32838AA7">
      <w:pPr>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甲方：</w:t>
      </w:r>
    </w:p>
    <w:p w14:paraId="4A1AE8F0">
      <w:pPr>
        <w:tabs>
          <w:tab w:val="left" w:pos="480"/>
        </w:tabs>
        <w:spacing w:line="240" w:lineRule="atLeast"/>
        <w:ind w:firstLine="480" w:firstLineChars="200"/>
        <w:rPr>
          <w:rFonts w:hint="eastAsia" w:ascii="仿宋_GB2312" w:hAnsi="仿宋" w:eastAsia="仿宋_GB2312" w:cs="宋体"/>
          <w:color w:val="auto"/>
          <w:szCs w:val="21"/>
          <w:highlight w:val="none"/>
        </w:rPr>
      </w:pPr>
      <w:r>
        <w:rPr>
          <w:rFonts w:hint="eastAsia" w:ascii="仿宋_GB2312" w:hAnsi="仿宋" w:eastAsia="仿宋_GB2312" w:cs="宋体"/>
          <w:color w:val="auto"/>
          <w:sz w:val="24"/>
          <w:highlight w:val="none"/>
        </w:rPr>
        <w:t>乙方：</w:t>
      </w:r>
    </w:p>
    <w:p w14:paraId="2F7DBD86">
      <w:pPr>
        <w:spacing w:line="360" w:lineRule="auto"/>
        <w:ind w:firstLine="480" w:firstLineChars="200"/>
        <w:rPr>
          <w:rFonts w:hint="eastAsia" w:ascii="仿宋_GB2312" w:hAnsi="宋体" w:eastAsia="仿宋_GB2312" w:cs="宋体"/>
          <w:color w:val="auto"/>
          <w:sz w:val="24"/>
          <w:highlight w:val="none"/>
        </w:rPr>
      </w:pPr>
      <w:r>
        <w:rPr>
          <w:rFonts w:hint="eastAsia" w:ascii="仿宋_GB2312" w:hAnsi="宋体" w:eastAsia="仿宋_GB2312" w:cs="宋体"/>
          <w:color w:val="auto"/>
          <w:sz w:val="24"/>
          <w:highlight w:val="none"/>
        </w:rPr>
        <w:t>西安市红会医院（以下简称甲方）所需本合同项目下的西安市红会医院**等设备采购项目，在西安市财政局政府采购管理处的监督管理下，由**（以下简称见证方）按照程序组织招标，确定xxxx（以下简称乙方）为中标人。依据《中华人民共和国政府采购法》、《中华人民共和国招标投标法》、《中华人民共和国民法典》以及见证方的招标文件、中标人投标文件正本、中标通知书，经甲、乙双方协商，见证方确认，达成如下条款。</w:t>
      </w:r>
    </w:p>
    <w:p w14:paraId="3D6D44A4">
      <w:pPr>
        <w:numPr>
          <w:ilvl w:val="0"/>
          <w:numId w:val="1"/>
        </w:numPr>
        <w:tabs>
          <w:tab w:val="left" w:pos="480"/>
        </w:tabs>
        <w:spacing w:line="240" w:lineRule="atLeast"/>
        <w:rPr>
          <w:rFonts w:hint="eastAsia" w:ascii="仿宋_GB2312" w:hAnsi="仿宋" w:eastAsia="仿宋_GB2312" w:cs="宋体"/>
          <w:color w:val="auto"/>
          <w:sz w:val="24"/>
          <w:highlight w:val="none"/>
        </w:rPr>
      </w:pPr>
      <w:r>
        <w:rPr>
          <w:rFonts w:hint="eastAsia" w:ascii="仿宋_GB2312" w:hAnsi="仿宋" w:eastAsia="仿宋_GB2312" w:cs="宋体"/>
          <w:b/>
          <w:color w:val="auto"/>
          <w:sz w:val="24"/>
          <w:highlight w:val="none"/>
        </w:rPr>
        <w:t>合同标的物内容及数量</w:t>
      </w:r>
      <w:r>
        <w:rPr>
          <w:rFonts w:hint="eastAsia" w:ascii="仿宋_GB2312" w:hAnsi="仿宋" w:eastAsia="仿宋_GB2312" w:cs="宋体"/>
          <w:color w:val="auto"/>
          <w:sz w:val="24"/>
          <w:highlight w:val="none"/>
        </w:rPr>
        <w:t>（以投标响应文件正本和澄清表〈函〉为准）</w:t>
      </w:r>
    </w:p>
    <w:tbl>
      <w:tblPr>
        <w:tblStyle w:val="5"/>
        <w:tblW w:w="9235" w:type="dxa"/>
        <w:tblInd w:w="-114"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10"/>
        <w:gridCol w:w="1173"/>
        <w:gridCol w:w="2310"/>
        <w:gridCol w:w="885"/>
        <w:gridCol w:w="1815"/>
        <w:gridCol w:w="1142"/>
      </w:tblGrid>
      <w:tr w14:paraId="0B0C42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439" w:hRule="atLeast"/>
        </w:trPr>
        <w:tc>
          <w:tcPr>
            <w:tcW w:w="1910" w:type="dxa"/>
            <w:tcBorders>
              <w:right w:val="single" w:color="auto" w:sz="4" w:space="0"/>
            </w:tcBorders>
            <w:vAlign w:val="center"/>
          </w:tcPr>
          <w:p w14:paraId="1311479A">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序号</w:t>
            </w:r>
          </w:p>
        </w:tc>
        <w:tc>
          <w:tcPr>
            <w:tcW w:w="1173" w:type="dxa"/>
            <w:tcBorders>
              <w:left w:val="single" w:color="auto" w:sz="4" w:space="0"/>
            </w:tcBorders>
            <w:vAlign w:val="center"/>
          </w:tcPr>
          <w:p w14:paraId="0296BAA9">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货物名称</w:t>
            </w:r>
          </w:p>
        </w:tc>
        <w:tc>
          <w:tcPr>
            <w:tcW w:w="2310" w:type="dxa"/>
            <w:vAlign w:val="center"/>
          </w:tcPr>
          <w:p w14:paraId="6367EF2B">
            <w:pP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型号规格</w:t>
            </w:r>
          </w:p>
        </w:tc>
        <w:tc>
          <w:tcPr>
            <w:tcW w:w="885" w:type="dxa"/>
            <w:tcBorders>
              <w:left w:val="single" w:color="auto" w:sz="4" w:space="0"/>
              <w:right w:val="single" w:color="auto" w:sz="4" w:space="0"/>
            </w:tcBorders>
            <w:vAlign w:val="center"/>
          </w:tcPr>
          <w:p w14:paraId="717433D3">
            <w:pP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产地</w:t>
            </w:r>
          </w:p>
        </w:tc>
        <w:tc>
          <w:tcPr>
            <w:tcW w:w="1815" w:type="dxa"/>
            <w:tcBorders>
              <w:left w:val="single" w:color="auto" w:sz="4" w:space="0"/>
              <w:right w:val="single" w:color="auto" w:sz="4" w:space="0"/>
            </w:tcBorders>
            <w:vAlign w:val="center"/>
          </w:tcPr>
          <w:p w14:paraId="0EDBABA5">
            <w:pP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数量</w:t>
            </w:r>
          </w:p>
        </w:tc>
        <w:tc>
          <w:tcPr>
            <w:tcW w:w="1142" w:type="dxa"/>
            <w:tcBorders>
              <w:left w:val="single" w:color="auto" w:sz="4" w:space="0"/>
            </w:tcBorders>
            <w:vAlign w:val="center"/>
          </w:tcPr>
          <w:p w14:paraId="61BC9FDF">
            <w:pP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单价（万元）</w:t>
            </w:r>
          </w:p>
        </w:tc>
      </w:tr>
      <w:tr w14:paraId="6C79BE6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799" w:hRule="atLeast"/>
        </w:trPr>
        <w:tc>
          <w:tcPr>
            <w:tcW w:w="1910" w:type="dxa"/>
            <w:tcBorders>
              <w:right w:val="single" w:color="auto" w:sz="4" w:space="0"/>
            </w:tcBorders>
            <w:vAlign w:val="center"/>
          </w:tcPr>
          <w:p w14:paraId="61AF5273">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1</w:t>
            </w:r>
          </w:p>
        </w:tc>
        <w:tc>
          <w:tcPr>
            <w:tcW w:w="1173" w:type="dxa"/>
            <w:tcBorders>
              <w:left w:val="single" w:color="auto" w:sz="4" w:space="0"/>
            </w:tcBorders>
            <w:vAlign w:val="center"/>
          </w:tcPr>
          <w:p w14:paraId="1BF9FA5E">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xxxx</w:t>
            </w:r>
          </w:p>
        </w:tc>
        <w:tc>
          <w:tcPr>
            <w:tcW w:w="2310" w:type="dxa"/>
            <w:vAlign w:val="center"/>
          </w:tcPr>
          <w:p w14:paraId="0E4EA6AC">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xxxx</w:t>
            </w:r>
          </w:p>
        </w:tc>
        <w:tc>
          <w:tcPr>
            <w:tcW w:w="885" w:type="dxa"/>
            <w:tcBorders>
              <w:left w:val="single" w:color="auto" w:sz="4" w:space="0"/>
              <w:right w:val="single" w:color="auto" w:sz="4" w:space="0"/>
            </w:tcBorders>
            <w:vAlign w:val="center"/>
          </w:tcPr>
          <w:p w14:paraId="2863B6DB">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xxxx</w:t>
            </w:r>
          </w:p>
        </w:tc>
        <w:tc>
          <w:tcPr>
            <w:tcW w:w="1815" w:type="dxa"/>
            <w:tcBorders>
              <w:left w:val="single" w:color="auto" w:sz="4" w:space="0"/>
              <w:right w:val="single" w:color="auto" w:sz="4" w:space="0"/>
            </w:tcBorders>
            <w:vAlign w:val="center"/>
          </w:tcPr>
          <w:p w14:paraId="4E62AD3C">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xxxx</w:t>
            </w:r>
          </w:p>
        </w:tc>
        <w:tc>
          <w:tcPr>
            <w:tcW w:w="1142" w:type="dxa"/>
            <w:tcBorders>
              <w:left w:val="single" w:color="auto" w:sz="4" w:space="0"/>
            </w:tcBorders>
            <w:vAlign w:val="center"/>
          </w:tcPr>
          <w:p w14:paraId="62FA45FC">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xxxx</w:t>
            </w:r>
          </w:p>
        </w:tc>
      </w:tr>
      <w:tr w14:paraId="5E3177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67" w:hRule="atLeast"/>
        </w:trPr>
        <w:tc>
          <w:tcPr>
            <w:tcW w:w="1910" w:type="dxa"/>
            <w:vAlign w:val="center"/>
          </w:tcPr>
          <w:p w14:paraId="0CFEBC43">
            <w:pPr>
              <w:spacing w:line="360" w:lineRule="auto"/>
              <w:jc w:val="center"/>
              <w:rPr>
                <w:rFonts w:hint="eastAsia" w:ascii="仿宋_GB2312" w:hAnsi="仿宋" w:eastAsia="仿宋_GB2312" w:cs="宋体"/>
                <w:bCs/>
                <w:color w:val="auto"/>
                <w:sz w:val="24"/>
                <w:highlight w:val="none"/>
              </w:rPr>
            </w:pPr>
            <w:r>
              <w:rPr>
                <w:rFonts w:hint="eastAsia" w:ascii="仿宋_GB2312" w:hAnsi="宋体" w:eastAsia="仿宋_GB2312" w:cs="宋体"/>
                <w:color w:val="auto"/>
                <w:sz w:val="24"/>
                <w:highlight w:val="none"/>
              </w:rPr>
              <w:t>2</w:t>
            </w:r>
          </w:p>
        </w:tc>
        <w:tc>
          <w:tcPr>
            <w:tcW w:w="1173" w:type="dxa"/>
            <w:vAlign w:val="center"/>
          </w:tcPr>
          <w:p w14:paraId="3937B9F2">
            <w:pPr>
              <w:spacing w:line="360" w:lineRule="auto"/>
              <w:jc w:val="center"/>
              <w:rPr>
                <w:rFonts w:hint="eastAsia" w:ascii="仿宋_GB2312" w:eastAsia="仿宋_GB2312"/>
                <w:color w:val="auto"/>
                <w:highlight w:val="none"/>
              </w:rPr>
            </w:pPr>
            <w:r>
              <w:rPr>
                <w:rFonts w:hint="eastAsia" w:ascii="仿宋_GB2312" w:hAnsi="宋体" w:eastAsia="仿宋_GB2312" w:cs="宋体"/>
                <w:color w:val="auto"/>
                <w:sz w:val="24"/>
                <w:highlight w:val="none"/>
              </w:rPr>
              <w:t>xxxx</w:t>
            </w:r>
          </w:p>
        </w:tc>
        <w:tc>
          <w:tcPr>
            <w:tcW w:w="2310" w:type="dxa"/>
            <w:vAlign w:val="center"/>
          </w:tcPr>
          <w:p w14:paraId="22C66433">
            <w:pPr>
              <w:spacing w:line="360" w:lineRule="auto"/>
              <w:jc w:val="center"/>
              <w:rPr>
                <w:rFonts w:hint="eastAsia" w:ascii="仿宋_GB2312" w:eastAsia="仿宋_GB2312"/>
                <w:color w:val="auto"/>
                <w:highlight w:val="none"/>
              </w:rPr>
            </w:pPr>
            <w:r>
              <w:rPr>
                <w:rFonts w:hint="eastAsia" w:ascii="仿宋_GB2312" w:hAnsi="宋体" w:eastAsia="仿宋_GB2312" w:cs="宋体"/>
                <w:color w:val="auto"/>
                <w:sz w:val="24"/>
                <w:highlight w:val="none"/>
              </w:rPr>
              <w:t>xxxx</w:t>
            </w:r>
          </w:p>
        </w:tc>
        <w:tc>
          <w:tcPr>
            <w:tcW w:w="885" w:type="dxa"/>
            <w:vAlign w:val="center"/>
          </w:tcPr>
          <w:p w14:paraId="3637E1EC">
            <w:pPr>
              <w:spacing w:line="360" w:lineRule="auto"/>
              <w:jc w:val="center"/>
              <w:rPr>
                <w:rFonts w:hint="eastAsia" w:ascii="仿宋_GB2312" w:eastAsia="仿宋_GB2312"/>
                <w:color w:val="auto"/>
                <w:highlight w:val="none"/>
              </w:rPr>
            </w:pPr>
            <w:r>
              <w:rPr>
                <w:rFonts w:hint="eastAsia" w:ascii="仿宋_GB2312" w:hAnsi="宋体" w:eastAsia="仿宋_GB2312" w:cs="宋体"/>
                <w:color w:val="auto"/>
                <w:sz w:val="24"/>
                <w:highlight w:val="none"/>
              </w:rPr>
              <w:t>xxxx</w:t>
            </w:r>
          </w:p>
        </w:tc>
        <w:tc>
          <w:tcPr>
            <w:tcW w:w="1815" w:type="dxa"/>
            <w:vAlign w:val="center"/>
          </w:tcPr>
          <w:p w14:paraId="05026C57">
            <w:pPr>
              <w:spacing w:line="360" w:lineRule="auto"/>
              <w:jc w:val="center"/>
              <w:rPr>
                <w:rFonts w:hint="eastAsia" w:ascii="仿宋_GB2312" w:eastAsia="仿宋_GB2312"/>
                <w:color w:val="auto"/>
                <w:highlight w:val="none"/>
              </w:rPr>
            </w:pPr>
            <w:r>
              <w:rPr>
                <w:rFonts w:hint="eastAsia" w:ascii="仿宋_GB2312" w:hAnsi="宋体" w:eastAsia="仿宋_GB2312" w:cs="宋体"/>
                <w:color w:val="auto"/>
                <w:sz w:val="24"/>
                <w:highlight w:val="none"/>
              </w:rPr>
              <w:t>xxxx</w:t>
            </w:r>
          </w:p>
        </w:tc>
        <w:tc>
          <w:tcPr>
            <w:tcW w:w="1142" w:type="dxa"/>
            <w:vAlign w:val="center"/>
          </w:tcPr>
          <w:p w14:paraId="414EA48A">
            <w:pPr>
              <w:spacing w:line="360" w:lineRule="auto"/>
              <w:jc w:val="center"/>
              <w:rPr>
                <w:rFonts w:hint="eastAsia" w:ascii="仿宋_GB2312" w:eastAsia="仿宋_GB2312"/>
                <w:color w:val="auto"/>
                <w:highlight w:val="none"/>
              </w:rPr>
            </w:pPr>
            <w:r>
              <w:rPr>
                <w:rFonts w:hint="eastAsia" w:ascii="仿宋_GB2312" w:hAnsi="宋体" w:eastAsia="仿宋_GB2312" w:cs="宋体"/>
                <w:color w:val="auto"/>
                <w:sz w:val="24"/>
                <w:highlight w:val="none"/>
              </w:rPr>
              <w:t>xxxx</w:t>
            </w:r>
          </w:p>
        </w:tc>
      </w:tr>
      <w:tr w14:paraId="36740D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67" w:hRule="atLeast"/>
        </w:trPr>
        <w:tc>
          <w:tcPr>
            <w:tcW w:w="1910" w:type="dxa"/>
            <w:vAlign w:val="center"/>
          </w:tcPr>
          <w:p w14:paraId="1BCC8FE2">
            <w:pPr>
              <w:spacing w:line="360" w:lineRule="auto"/>
              <w:jc w:val="center"/>
              <w:rPr>
                <w:rFonts w:hint="eastAsia" w:ascii="仿宋_GB2312" w:hAnsi="宋体" w:eastAsia="仿宋_GB2312" w:cs="宋体"/>
                <w:color w:val="auto"/>
                <w:sz w:val="24"/>
                <w:highlight w:val="none"/>
              </w:rPr>
            </w:pPr>
          </w:p>
        </w:tc>
        <w:tc>
          <w:tcPr>
            <w:tcW w:w="1173" w:type="dxa"/>
            <w:vAlign w:val="center"/>
          </w:tcPr>
          <w:p w14:paraId="53D45920">
            <w:pPr>
              <w:spacing w:line="360" w:lineRule="auto"/>
              <w:jc w:val="center"/>
              <w:rPr>
                <w:rFonts w:hint="eastAsia" w:ascii="仿宋_GB2312" w:hAnsi="宋体" w:eastAsia="仿宋_GB2312" w:cs="宋体"/>
                <w:color w:val="auto"/>
                <w:sz w:val="24"/>
                <w:highlight w:val="none"/>
              </w:rPr>
            </w:pPr>
          </w:p>
        </w:tc>
        <w:tc>
          <w:tcPr>
            <w:tcW w:w="2310" w:type="dxa"/>
            <w:vAlign w:val="center"/>
          </w:tcPr>
          <w:p w14:paraId="08DC3DCB">
            <w:pPr>
              <w:spacing w:line="360" w:lineRule="auto"/>
              <w:jc w:val="center"/>
              <w:rPr>
                <w:rFonts w:hint="eastAsia" w:ascii="仿宋_GB2312" w:hAnsi="宋体" w:eastAsia="仿宋_GB2312" w:cs="宋体"/>
                <w:color w:val="auto"/>
                <w:sz w:val="24"/>
                <w:highlight w:val="none"/>
              </w:rPr>
            </w:pPr>
          </w:p>
        </w:tc>
        <w:tc>
          <w:tcPr>
            <w:tcW w:w="885" w:type="dxa"/>
            <w:vAlign w:val="center"/>
          </w:tcPr>
          <w:p w14:paraId="0B5D62BF">
            <w:pPr>
              <w:spacing w:line="360" w:lineRule="auto"/>
              <w:jc w:val="center"/>
              <w:rPr>
                <w:rFonts w:hint="eastAsia" w:ascii="仿宋_GB2312" w:hAnsi="宋体" w:eastAsia="仿宋_GB2312" w:cs="宋体"/>
                <w:color w:val="auto"/>
                <w:sz w:val="24"/>
                <w:highlight w:val="none"/>
              </w:rPr>
            </w:pPr>
          </w:p>
        </w:tc>
        <w:tc>
          <w:tcPr>
            <w:tcW w:w="1815" w:type="dxa"/>
            <w:vAlign w:val="center"/>
          </w:tcPr>
          <w:p w14:paraId="1012D22B">
            <w:pPr>
              <w:spacing w:line="360" w:lineRule="auto"/>
              <w:jc w:val="center"/>
              <w:rPr>
                <w:rFonts w:hint="eastAsia" w:ascii="仿宋_GB2312" w:hAnsi="宋体" w:eastAsia="仿宋_GB2312" w:cs="宋体"/>
                <w:color w:val="auto"/>
                <w:sz w:val="24"/>
                <w:highlight w:val="none"/>
              </w:rPr>
            </w:pPr>
          </w:p>
        </w:tc>
        <w:tc>
          <w:tcPr>
            <w:tcW w:w="1142" w:type="dxa"/>
            <w:vAlign w:val="center"/>
          </w:tcPr>
          <w:p w14:paraId="0F520BD2">
            <w:pPr>
              <w:spacing w:line="360" w:lineRule="auto"/>
              <w:jc w:val="center"/>
              <w:rPr>
                <w:rFonts w:hint="eastAsia" w:ascii="仿宋_GB2312" w:hAnsi="宋体" w:eastAsia="仿宋_GB2312" w:cs="宋体"/>
                <w:color w:val="auto"/>
                <w:sz w:val="24"/>
                <w:highlight w:val="none"/>
              </w:rPr>
            </w:pPr>
          </w:p>
        </w:tc>
      </w:tr>
      <w:tr w14:paraId="4B99D7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67" w:hRule="atLeast"/>
        </w:trPr>
        <w:tc>
          <w:tcPr>
            <w:tcW w:w="9235" w:type="dxa"/>
            <w:gridSpan w:val="6"/>
          </w:tcPr>
          <w:p w14:paraId="32466741">
            <w:pPr>
              <w:spacing w:line="360" w:lineRule="auto"/>
              <w:rPr>
                <w:rFonts w:hint="eastAsia" w:ascii="仿宋_GB2312" w:hAnsi="宋体" w:eastAsia="仿宋_GB2312" w:cs="宋体"/>
                <w:color w:val="auto"/>
                <w:sz w:val="24"/>
                <w:highlight w:val="none"/>
              </w:rPr>
            </w:pPr>
            <w:r>
              <w:rPr>
                <w:rFonts w:hint="eastAsia" w:ascii="仿宋_GB2312" w:hAnsi="宋体" w:eastAsia="仿宋_GB2312" w:cs="宋体"/>
                <w:color w:val="auto"/>
                <w:sz w:val="24"/>
                <w:highlight w:val="none"/>
              </w:rPr>
              <w:t>货物价款合计（万元）： xxxx</w:t>
            </w:r>
          </w:p>
        </w:tc>
      </w:tr>
    </w:tbl>
    <w:p w14:paraId="4513F42E">
      <w:pPr>
        <w:tabs>
          <w:tab w:val="left" w:pos="480"/>
        </w:tabs>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乙方保证甲方在使用中标货物（服务）时，不承担任何涉及知识产权法律诉讼及因此产生的其他全部的责任。</w:t>
      </w:r>
    </w:p>
    <w:p w14:paraId="79D4A0BA">
      <w:pPr>
        <w:tabs>
          <w:tab w:val="left" w:pos="480"/>
        </w:tabs>
        <w:spacing w:line="460" w:lineRule="exact"/>
        <w:ind w:firstLine="482" w:firstLineChars="200"/>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二、合同价款</w:t>
      </w:r>
    </w:p>
    <w:p w14:paraId="6BB89E61">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（一）合同总价款为</w:t>
      </w:r>
      <w:r>
        <w:rPr>
          <w:rFonts w:hint="eastAsia" w:ascii="仿宋_GB2312" w:hAnsi="仿宋" w:eastAsia="仿宋_GB2312" w:cs="宋体"/>
          <w:bCs/>
          <w:color w:val="auto"/>
          <w:sz w:val="24"/>
          <w:highlight w:val="none"/>
        </w:rPr>
        <w:t>（大写）</w:t>
      </w:r>
      <w:r>
        <w:rPr>
          <w:rFonts w:hint="eastAsia" w:ascii="仿宋_GB2312" w:hAnsi="仿宋" w:eastAsia="仿宋_GB2312" w:cs="宋体"/>
          <w:bCs/>
          <w:color w:val="auto"/>
          <w:sz w:val="24"/>
          <w:highlight w:val="none"/>
          <w:lang w:val="zh-CN"/>
        </w:rPr>
        <w:t>：</w:t>
      </w:r>
      <w:r>
        <w:rPr>
          <w:rFonts w:hint="eastAsia" w:ascii="仿宋_GB2312" w:hAnsi="仿宋" w:eastAsia="仿宋_GB2312" w:cs="宋体"/>
          <w:color w:val="auto"/>
          <w:sz w:val="24"/>
          <w:highlight w:val="none"/>
        </w:rPr>
        <w:t xml:space="preserve">  </w:t>
      </w:r>
    </w:p>
    <w:p w14:paraId="716FD0F0">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（二）合同总价包括：货物费、运输费（含保险费）、装卸、安装调试费、检测验收、培训、技术服务及其它全部费用。</w:t>
      </w:r>
    </w:p>
    <w:p w14:paraId="0ABF2E9C">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（三）合同总价一次性包死，不受市场价格变化因素的影响。</w:t>
      </w:r>
    </w:p>
    <w:p w14:paraId="514D1932">
      <w:pPr>
        <w:tabs>
          <w:tab w:val="left" w:pos="480"/>
        </w:tabs>
        <w:spacing w:line="460" w:lineRule="exact"/>
        <w:ind w:firstLine="482" w:firstLineChars="200"/>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三、款项结算（具体付款方式，根据招标文件、投标文件、澄清表（函）要求制定）</w:t>
      </w:r>
    </w:p>
    <w:p w14:paraId="15678A4C">
      <w:pPr>
        <w:tabs>
          <w:tab w:val="left" w:pos="480"/>
        </w:tabs>
        <w:spacing w:line="460" w:lineRule="exact"/>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（一）履约保证金的收取与退还</w:t>
      </w:r>
    </w:p>
    <w:p w14:paraId="5D23C471">
      <w:pPr>
        <w:tabs>
          <w:tab w:val="left" w:pos="480"/>
        </w:tabs>
        <w:spacing w:line="460" w:lineRule="exact"/>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乙方应当在中标结果公示发布后五个工作日内将项目履约保证金（中标总额的5%）转账至甲方基本户，未按照招标文件要求按时足额缴纳履约保证金的，甲方将取消乙方中标资格，合同约定事宜完成，所有设备功能完好，无息返还。</w:t>
      </w:r>
    </w:p>
    <w:p w14:paraId="13999122">
      <w:pPr>
        <w:spacing w:line="360" w:lineRule="auto"/>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甲方基本户户名：西安市红会医院</w:t>
      </w:r>
    </w:p>
    <w:p w14:paraId="55425D74">
      <w:pPr>
        <w:spacing w:line="360" w:lineRule="auto"/>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账号：102407334632</w:t>
      </w:r>
    </w:p>
    <w:p w14:paraId="3FBB9745">
      <w:pPr>
        <w:spacing w:line="360" w:lineRule="auto"/>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开户行：中行西安长安路支行</w:t>
      </w:r>
    </w:p>
    <w:p w14:paraId="6329F6FF">
      <w:pPr>
        <w:spacing w:line="360" w:lineRule="auto"/>
        <w:ind w:firstLine="480" w:firstLineChars="200"/>
        <w:rPr>
          <w:rFonts w:hint="eastAsia" w:ascii="仿宋_GB2312" w:hAnsi="仿宋" w:eastAsia="仿宋_GB2312" w:cs="仿宋"/>
          <w:color w:val="auto"/>
          <w:sz w:val="24"/>
          <w:highlight w:val="none"/>
        </w:rPr>
      </w:pPr>
      <w:r>
        <w:rPr>
          <w:rFonts w:hint="eastAsia" w:ascii="仿宋_GB2312" w:hAnsi="仿宋" w:eastAsia="仿宋_GB2312" w:cs="仿宋"/>
          <w:color w:val="auto"/>
          <w:sz w:val="24"/>
          <w:highlight w:val="none"/>
        </w:rPr>
        <w:t>注：转账请注明用途</w:t>
      </w:r>
    </w:p>
    <w:p w14:paraId="5FBDFE67">
      <w:pPr>
        <w:tabs>
          <w:tab w:val="left" w:pos="480"/>
        </w:tabs>
        <w:spacing w:line="460" w:lineRule="exact"/>
        <w:ind w:firstLine="480" w:firstLineChars="200"/>
        <w:rPr>
          <w:rFonts w:hint="eastAsia" w:ascii="仿宋_GB2312" w:hAnsi="仿宋" w:eastAsia="仿宋_GB2312" w:cs="宋体"/>
          <w:color w:val="auto"/>
          <w:sz w:val="24"/>
          <w:highlight w:val="none"/>
          <w:u w:val="single"/>
        </w:rPr>
      </w:pPr>
      <w:r>
        <w:rPr>
          <w:rFonts w:hint="eastAsia" w:ascii="仿宋_GB2312" w:hAnsi="仿宋" w:eastAsia="仿宋_GB2312" w:cs="宋体"/>
          <w:color w:val="auto"/>
          <w:sz w:val="24"/>
          <w:highlight w:val="none"/>
        </w:rPr>
        <w:t>（二）</w:t>
      </w:r>
      <w:r>
        <w:rPr>
          <w:rFonts w:hint="eastAsia" w:ascii="仿宋_GB2312" w:hAnsi="仿宋" w:eastAsia="仿宋_GB2312" w:cs="宋体"/>
          <w:bCs/>
          <w:color w:val="auto"/>
          <w:sz w:val="24"/>
          <w:highlight w:val="none"/>
        </w:rPr>
        <w:t>所有</w:t>
      </w:r>
      <w:r>
        <w:rPr>
          <w:rFonts w:hint="eastAsia" w:ascii="仿宋_GB2312" w:hAnsi="仿宋" w:eastAsia="仿宋_GB2312" w:cs="宋体"/>
          <w:color w:val="auto"/>
          <w:sz w:val="24"/>
          <w:highlight w:val="none"/>
        </w:rPr>
        <w:t>货物到达甲方指定地点，安装、培训、调试完毕并验收合格后，30个工作日内支付合同总价款的100%，即（大写）：</w:t>
      </w:r>
    </w:p>
    <w:p w14:paraId="15884AFF">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bCs/>
          <w:color w:val="auto"/>
          <w:sz w:val="24"/>
          <w:highlight w:val="none"/>
        </w:rPr>
        <w:t xml:space="preserve">（三）发票直开采购单位： </w:t>
      </w:r>
    </w:p>
    <w:p w14:paraId="645A2016">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（四）支付方式：银行转账。</w:t>
      </w:r>
    </w:p>
    <w:p w14:paraId="0B8D0404">
      <w:pPr>
        <w:tabs>
          <w:tab w:val="left" w:pos="480"/>
        </w:tabs>
        <w:spacing w:line="460" w:lineRule="exact"/>
        <w:ind w:left="479" w:leftChars="228"/>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（五）结算方式：有关部门验收合格后，乙方凭验收单、合同、中标通知书及合规发票原件（按合同总价直开甲方）等相关手续到甲方处办理结算手续。</w:t>
      </w:r>
    </w:p>
    <w:p w14:paraId="79AF19F8">
      <w:pPr>
        <w:spacing w:line="460" w:lineRule="exact"/>
        <w:ind w:firstLine="482" w:firstLineChars="200"/>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四、双方的权利和义务</w:t>
      </w:r>
    </w:p>
    <w:p w14:paraId="0DC79FF0">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（一）甲方的权利和义务</w:t>
      </w:r>
    </w:p>
    <w:p w14:paraId="16A522CC">
      <w:pPr>
        <w:pStyle w:val="4"/>
        <w:rPr>
          <w:rFonts w:hint="eastAsia" w:ascii="仿宋_GB2312" w:hAnsi="仿宋" w:eastAsia="仿宋_GB2312" w:cs="宋体"/>
          <w:color w:val="auto"/>
          <w:highlight w:val="none"/>
        </w:rPr>
      </w:pPr>
      <w:r>
        <w:rPr>
          <w:rFonts w:hint="eastAsia" w:ascii="仿宋_GB2312" w:hAnsi="仿宋" w:eastAsia="仿宋_GB2312" w:cs="宋体"/>
          <w:color w:val="auto"/>
          <w:highlight w:val="none"/>
        </w:rPr>
        <w:t>甲方的权利：质保期内，同一主要部件出现质量问题，经过2次以上（包括2次）维修后仍无法正常使用，乙方应立即给予甲方免费更换同型号、同规格的原厂新设备并保证设备正常使用。经过更换后仍无法正常使用的，甲方有权解除合同，合同自甲方书面解除通知到达乙方时解除，乙方返还甲方已支付款项，并按照合同总额的30%向甲方支付违约金，若乙方支付的违约金不足以弥补甲方损失的，还应当按照甲方的实际损失予以全部赔偿。</w:t>
      </w:r>
    </w:p>
    <w:p w14:paraId="6025B79C">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甲方的义务：积极配合乙方安装、调试设备、组织设备验收工作，按照合同约定向乙方支付货款。</w:t>
      </w:r>
    </w:p>
    <w:p w14:paraId="6325015A">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（二）乙方的权利和义务</w:t>
      </w:r>
    </w:p>
    <w:p w14:paraId="0AB4AD1D">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乙方的权利：按照合同约定要求甲方支付货款。</w:t>
      </w:r>
    </w:p>
    <w:p w14:paraId="7D2C514E">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乙方的义务：按照合同约定时间、按照甲方指定地点提供符合约定标准的货物，负责设备安装、调试，配合设备验收工作，提供原厂工程师现场技术培训并保证设备使用人员正常熟练操作设备的各种功能，按照合同约定提供售后服务。</w:t>
      </w:r>
    </w:p>
    <w:p w14:paraId="564FC4A9">
      <w:pPr>
        <w:spacing w:line="460" w:lineRule="exact"/>
        <w:ind w:firstLine="482"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b/>
          <w:color w:val="auto"/>
          <w:sz w:val="24"/>
          <w:highlight w:val="none"/>
        </w:rPr>
        <w:t>五、交货条件：</w:t>
      </w:r>
    </w:p>
    <w:p w14:paraId="09CEE4AA">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（一）交货地点：甲方指定地点。</w:t>
      </w:r>
    </w:p>
    <w:p w14:paraId="48FB75D6">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（二）交货期：自合同签订后</w:t>
      </w:r>
      <w:r>
        <w:rPr>
          <w:rFonts w:hint="eastAsia" w:ascii="仿宋_GB2312" w:hAnsi="仿宋" w:eastAsia="仿宋_GB2312" w:cs="宋体"/>
          <w:color w:val="auto"/>
          <w:sz w:val="24"/>
          <w:highlight w:val="none"/>
          <w:u w:val="single"/>
        </w:rPr>
        <w:t xml:space="preserve">    </w:t>
      </w:r>
      <w:r>
        <w:rPr>
          <w:rFonts w:hint="eastAsia" w:ascii="仿宋_GB2312" w:hAnsi="仿宋" w:eastAsia="仿宋_GB2312" w:cs="宋体"/>
          <w:color w:val="auto"/>
          <w:sz w:val="24"/>
          <w:highlight w:val="none"/>
        </w:rPr>
        <w:t>个日历日内完成全部项目内容，并交付甲方验收合格，不得延期。</w:t>
      </w:r>
    </w:p>
    <w:p w14:paraId="59CE5413">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（三）安装、培训期：自设备到货后</w:t>
      </w:r>
      <w:r>
        <w:rPr>
          <w:rFonts w:hint="eastAsia" w:ascii="仿宋_GB2312" w:hAnsi="仿宋" w:eastAsia="仿宋_GB2312" w:cs="宋体"/>
          <w:color w:val="auto"/>
          <w:sz w:val="24"/>
          <w:highlight w:val="none"/>
          <w:u w:val="single"/>
        </w:rPr>
        <w:t xml:space="preserve">     </w:t>
      </w:r>
      <w:r>
        <w:rPr>
          <w:rFonts w:hint="eastAsia" w:ascii="仿宋_GB2312" w:hAnsi="仿宋" w:eastAsia="仿宋_GB2312" w:cs="宋体"/>
          <w:color w:val="auto"/>
          <w:sz w:val="24"/>
          <w:highlight w:val="none"/>
        </w:rPr>
        <w:t>个工作日内。</w:t>
      </w:r>
    </w:p>
    <w:p w14:paraId="4B1BC726">
      <w:pPr>
        <w:tabs>
          <w:tab w:val="left" w:pos="480"/>
        </w:tabs>
        <w:spacing w:line="460" w:lineRule="exact"/>
        <w:ind w:firstLine="472" w:firstLineChars="196"/>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六、运输</w:t>
      </w:r>
    </w:p>
    <w:p w14:paraId="5F1A7D73">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（一）运输由乙方负责，运杂费已包含在合同总价内，包括从货物供应地点到甲方指定地点所含的运输费、装卸费、仓储费、保险费等全部费用。</w:t>
      </w:r>
    </w:p>
    <w:p w14:paraId="4C8BDEC1">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（二）运输方式由乙方自行选择，但必须保证按期交货，并通过验收。</w:t>
      </w:r>
    </w:p>
    <w:p w14:paraId="043517E4">
      <w:pPr>
        <w:pStyle w:val="4"/>
        <w:ind w:firstLine="420" w:firstLineChars="200"/>
        <w:rPr>
          <w:rFonts w:hint="eastAsia" w:ascii="仿宋_GB2312" w:hAnsi="仿宋" w:eastAsia="仿宋_GB2312" w:cs="宋体"/>
          <w:color w:val="auto"/>
          <w:highlight w:val="none"/>
        </w:rPr>
      </w:pPr>
      <w:r>
        <w:rPr>
          <w:rFonts w:hint="eastAsia" w:ascii="仿宋_GB2312" w:hAnsi="仿宋" w:eastAsia="仿宋_GB2312" w:cs="宋体"/>
          <w:color w:val="auto"/>
          <w:highlight w:val="none"/>
        </w:rPr>
        <w:t>（三）运输过程中的一切风险及产品质量问题由乙方全部承担。</w:t>
      </w:r>
    </w:p>
    <w:p w14:paraId="5139CF1E">
      <w:pPr>
        <w:spacing w:line="460" w:lineRule="exact"/>
        <w:ind w:firstLine="482"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b/>
          <w:color w:val="auto"/>
          <w:sz w:val="24"/>
          <w:highlight w:val="none"/>
        </w:rPr>
        <w:t>七、质量保证</w:t>
      </w:r>
    </w:p>
    <w:p w14:paraId="2A268C1C">
      <w:pPr>
        <w:tabs>
          <w:tab w:val="left" w:pos="480"/>
        </w:tabs>
        <w:spacing w:line="460" w:lineRule="exact"/>
        <w:ind w:firstLine="470" w:firstLineChars="196"/>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乙方所供货物必须执行下列条款：</w:t>
      </w:r>
    </w:p>
    <w:p w14:paraId="06F1BFD7">
      <w:pPr>
        <w:numPr>
          <w:ilvl w:val="0"/>
          <w:numId w:val="2"/>
        </w:num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保证设备技术指标先进、产品全新、质量性能可靠、进货渠道正常，配置合理，全面满足甲方要求。</w:t>
      </w:r>
    </w:p>
    <w:p w14:paraId="6A79A9C2">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（二）符合国家有关技术标准和规范要求，确保达到最佳运行状态。</w:t>
      </w:r>
    </w:p>
    <w:p w14:paraId="57FBB396">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（三）具有良好的外观，适合安装场所的使用。</w:t>
      </w:r>
    </w:p>
    <w:p w14:paraId="3C6C5CCB">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（四）乙方为甲方提供的设备须为原厂生产全新产品，如果乙方提供产品非原厂生产全新产品，一经查实，甲方有权要求乙方更换符合招标文件所要求的全新产品，由此产生的一切经济损失由乙方承担。</w:t>
      </w:r>
    </w:p>
    <w:p w14:paraId="6C412A4B">
      <w:pPr>
        <w:pStyle w:val="8"/>
        <w:numPr>
          <w:ilvl w:val="255"/>
          <w:numId w:val="0"/>
        </w:numPr>
        <w:spacing w:line="500" w:lineRule="exact"/>
        <w:ind w:left="480"/>
        <w:rPr>
          <w:rFonts w:hint="eastAsia" w:ascii="仿宋_GB2312" w:hAnsi="仿宋_GB2312" w:eastAsia="仿宋_GB2312" w:cs="仿宋_GB2312"/>
          <w:color w:val="auto"/>
          <w:sz w:val="24"/>
          <w:highlight w:val="none"/>
        </w:rPr>
      </w:pPr>
      <w:r>
        <w:rPr>
          <w:rFonts w:hint="eastAsia" w:ascii="仿宋_GB2312" w:hAnsi="仿宋" w:eastAsia="仿宋_GB2312" w:cs="宋体"/>
          <w:color w:val="auto"/>
          <w:sz w:val="24"/>
          <w:highlight w:val="none"/>
        </w:rPr>
        <w:t>（五）</w:t>
      </w:r>
      <w:r>
        <w:rPr>
          <w:rFonts w:hint="eastAsia" w:ascii="仿宋_GB2312" w:hAnsi="仿宋_GB2312" w:eastAsia="仿宋_GB2312" w:cs="仿宋_GB2312"/>
          <w:color w:val="auto"/>
          <w:kern w:val="0"/>
          <w:sz w:val="24"/>
          <w:highlight w:val="none"/>
        </w:rPr>
        <w:t>数字减影血管造影机球管</w:t>
      </w:r>
      <w:r>
        <w:rPr>
          <w:rFonts w:hint="eastAsia" w:ascii="仿宋_GB2312" w:hAnsi="仿宋_GB2312" w:eastAsia="仿宋_GB2312" w:cs="仿宋_GB2312"/>
          <w:color w:val="auto"/>
          <w:sz w:val="24"/>
          <w:highlight w:val="none"/>
        </w:rPr>
        <w:t>原厂质保</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rPr>
        <w:t>年，质保期结束后免费延长原厂</w:t>
      </w:r>
    </w:p>
    <w:p w14:paraId="02861E63">
      <w:pPr>
        <w:pStyle w:val="8"/>
        <w:numPr>
          <w:ilvl w:val="255"/>
          <w:numId w:val="0"/>
        </w:numPr>
        <w:spacing w:line="500" w:lineRule="exact"/>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维保</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rPr>
        <w:t>年，全部软件终生无条件升级。</w:t>
      </w:r>
      <w:r>
        <w:rPr>
          <w:rFonts w:hint="eastAsia" w:ascii="仿宋_GB2312" w:hAnsi="仿宋_GB2312" w:eastAsia="仿宋_GB2312" w:cs="仿宋_GB2312"/>
          <w:color w:val="auto"/>
          <w:sz w:val="24"/>
          <w:highlight w:val="none"/>
          <w:lang w:val="en-US" w:eastAsia="zh-CN"/>
        </w:rPr>
        <w:t xml:space="preserve"> </w:t>
      </w:r>
    </w:p>
    <w:p w14:paraId="2B2E5A6F">
      <w:pPr>
        <w:pStyle w:val="2"/>
        <w:rPr>
          <w:rFonts w:hint="eastAsia" w:ascii="仿宋_GB2312" w:eastAsia="仿宋_GB2312"/>
          <w:color w:val="auto"/>
          <w:highlight w:val="none"/>
        </w:rPr>
      </w:pPr>
    </w:p>
    <w:p w14:paraId="5F30DFAF">
      <w:pPr>
        <w:tabs>
          <w:tab w:val="left" w:pos="480"/>
        </w:tabs>
        <w:spacing w:line="460" w:lineRule="exact"/>
        <w:ind w:firstLine="482" w:firstLineChars="200"/>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八、售后服务</w:t>
      </w:r>
    </w:p>
    <w:p w14:paraId="13C52A0B">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（一）质保期内：</w:t>
      </w:r>
    </w:p>
    <w:p w14:paraId="19CC020E">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1、产品发生质量问题，在接到采购方通知后，供应商服务响应时间不超过2小时，4小时内派出专业的维修人员进行现场检测维修，解决问题不超过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产品停机时间自动计算为免费质保延长时间。</w:t>
      </w:r>
    </w:p>
    <w:p w14:paraId="22EFCB3F">
      <w:pPr>
        <w:spacing w:line="460" w:lineRule="exact"/>
        <w:ind w:firstLine="720" w:firstLineChars="3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2、供应商销售及原厂维修人员须定期寻访医院，及时解决相关产品的各种问题。</w:t>
      </w:r>
    </w:p>
    <w:p w14:paraId="436B8FF8">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（三）供应商在质保期结束前，对产品进行系统测试，全面保养维护，确保产品正常运行。</w:t>
      </w:r>
    </w:p>
    <w:p w14:paraId="01320866">
      <w:pPr>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四）质保期满后：乙方提供每年不低于四次的巡访，以保证设备正常运行。如甲方要求，乙方须提供长期的优惠有偿维修服务，并负责长期成本价供应设备所需的原厂全新备品、备件，提供主要易损备件报价单。设备出现的故障，乙方应提供及时、有效的技术支持和售后服务，维修更换的配件、备件质保时间不少于12个月，乙方保证所提供的零备件按成本价收取费用，免工时费等其他全部费用，并保证甲方使用的相关备件、部件乙方均能长期有效的供应。若乙方提供的配件、备件为返修配件、备件，一经查实，乙方应承担全部责任，由此给造成甲方损失的，乙方应当全额赔偿。</w:t>
      </w:r>
    </w:p>
    <w:p w14:paraId="36A865A4">
      <w:pPr>
        <w:tabs>
          <w:tab w:val="left" w:pos="480"/>
        </w:tabs>
        <w:spacing w:line="460" w:lineRule="exact"/>
        <w:ind w:firstLine="470" w:firstLineChars="196"/>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（五）使用培训：设备安装调试完成后，乙方须安排原厂工程师对设备使用人员进行免费的设备安装调试及操作应用等技术培训，直至使用人员熟练掌握该设备的全部功能操作。</w:t>
      </w:r>
    </w:p>
    <w:p w14:paraId="07B49BB2">
      <w:pPr>
        <w:tabs>
          <w:tab w:val="left" w:pos="480"/>
        </w:tabs>
        <w:spacing w:line="460" w:lineRule="exact"/>
        <w:ind w:firstLine="472" w:firstLineChars="196"/>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九、技术与服务</w:t>
      </w:r>
    </w:p>
    <w:p w14:paraId="66722DE0">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（一）技术资料：</w:t>
      </w:r>
    </w:p>
    <w:p w14:paraId="34EF479E">
      <w:pPr>
        <w:tabs>
          <w:tab w:val="left" w:pos="480"/>
        </w:tabs>
        <w:spacing w:line="460" w:lineRule="exact"/>
        <w:ind w:firstLine="960" w:firstLineChars="4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1、货物合格证；</w:t>
      </w:r>
    </w:p>
    <w:p w14:paraId="05F04E73">
      <w:pPr>
        <w:tabs>
          <w:tab w:val="left" w:pos="480"/>
        </w:tabs>
        <w:spacing w:line="460" w:lineRule="exact"/>
        <w:ind w:firstLine="960" w:firstLineChars="4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2、货物使用说明书（中文）；</w:t>
      </w:r>
    </w:p>
    <w:p w14:paraId="6CB72E3B">
      <w:pPr>
        <w:tabs>
          <w:tab w:val="left" w:pos="480"/>
        </w:tabs>
        <w:spacing w:line="460" w:lineRule="exact"/>
        <w:ind w:firstLine="960" w:firstLineChars="4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3、检验测试报告；</w:t>
      </w:r>
    </w:p>
    <w:p w14:paraId="017675AD">
      <w:pPr>
        <w:tabs>
          <w:tab w:val="left" w:pos="480"/>
        </w:tabs>
        <w:spacing w:line="460" w:lineRule="exact"/>
        <w:ind w:firstLine="960" w:firstLineChars="4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4、其它资料[包括装箱清单、操作手册、维护手册、服务指南等资料]。</w:t>
      </w:r>
    </w:p>
    <w:p w14:paraId="45DDC430">
      <w:pPr>
        <w:pStyle w:val="9"/>
        <w:numPr>
          <w:ilvl w:val="0"/>
          <w:numId w:val="3"/>
        </w:numPr>
        <w:tabs>
          <w:tab w:val="left" w:pos="480"/>
        </w:tabs>
        <w:spacing w:line="460" w:lineRule="exact"/>
        <w:ind w:firstLineChars="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服务承诺：</w:t>
      </w:r>
    </w:p>
    <w:p w14:paraId="4176A7DB">
      <w:pPr>
        <w:numPr>
          <w:ilvl w:val="0"/>
          <w:numId w:val="4"/>
        </w:numPr>
        <w:tabs>
          <w:tab w:val="left" w:pos="480"/>
        </w:tabs>
        <w:spacing w:line="460" w:lineRule="exact"/>
        <w:ind w:firstLine="960"/>
        <w:rPr>
          <w:rFonts w:hint="eastAsia" w:ascii="仿宋_GB2312" w:hAnsi="仿宋" w:eastAsia="仿宋_GB2312"/>
          <w:color w:val="auto"/>
          <w:highlight w:val="none"/>
        </w:rPr>
      </w:pPr>
      <w:r>
        <w:rPr>
          <w:rFonts w:hint="eastAsia" w:ascii="仿宋_GB2312" w:hAnsi="仿宋" w:eastAsia="仿宋_GB2312" w:cs="宋体"/>
          <w:color w:val="auto"/>
          <w:sz w:val="24"/>
          <w:highlight w:val="none"/>
        </w:rPr>
        <w:t>保修期内提供完全免费服务，不收取任何费用。</w:t>
      </w:r>
    </w:p>
    <w:p w14:paraId="20531180">
      <w:pPr>
        <w:numPr>
          <w:ilvl w:val="0"/>
          <w:numId w:val="4"/>
        </w:numPr>
        <w:tabs>
          <w:tab w:val="left" w:pos="480"/>
        </w:tabs>
        <w:spacing w:line="460" w:lineRule="exact"/>
        <w:ind w:firstLine="96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设备所需备件充足，并保证不低于10年的供应期。</w:t>
      </w:r>
    </w:p>
    <w:p w14:paraId="320B66DB">
      <w:pPr>
        <w:tabs>
          <w:tab w:val="left" w:pos="480"/>
        </w:tabs>
        <w:spacing w:line="460" w:lineRule="exact"/>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 其他方面以投标文件、澄清表（函）、合同和随货物的相关文件为准。</w:t>
      </w:r>
    </w:p>
    <w:p w14:paraId="11882D67">
      <w:pPr>
        <w:tabs>
          <w:tab w:val="left" w:pos="480"/>
        </w:tabs>
        <w:spacing w:line="460" w:lineRule="exact"/>
        <w:ind w:firstLine="472" w:firstLineChars="196"/>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十、验收</w:t>
      </w:r>
    </w:p>
    <w:p w14:paraId="25D9ADDC">
      <w:pPr>
        <w:tabs>
          <w:tab w:val="left" w:pos="480"/>
        </w:tabs>
        <w:spacing w:line="460" w:lineRule="exact"/>
        <w:ind w:left="479" w:leftChars="228"/>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（一）货物到达甲方指定地点后，甲方根据合同要求，进行外观验收，确认产地、规格、型号和数量。甲、乙双方须在约定的时间和地点共同开箱检验。</w:t>
      </w:r>
    </w:p>
    <w:p w14:paraId="6807A989">
      <w:pPr>
        <w:tabs>
          <w:tab w:val="left" w:pos="480"/>
        </w:tabs>
        <w:spacing w:line="460" w:lineRule="exact"/>
        <w:ind w:left="479" w:leftChars="228"/>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（二）设备安装、调试、自检正常，且可正常使用后，由乙方书面通知甲方。</w:t>
      </w:r>
    </w:p>
    <w:p w14:paraId="7660BC1E">
      <w:pPr>
        <w:tabs>
          <w:tab w:val="left" w:pos="480"/>
        </w:tabs>
        <w:spacing w:line="460" w:lineRule="exact"/>
        <w:ind w:left="479" w:leftChars="228"/>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（三）甲方核查乙方提供的设备自检正常报告后，开始进行设备验收。设备验收合格后，填写设备</w:t>
      </w:r>
      <w:r>
        <w:rPr>
          <w:rFonts w:hint="eastAsia" w:ascii="仿宋_GB2312" w:hAnsi="仿宋" w:eastAsia="仿宋_GB2312" w:cs="宋体"/>
          <w:bCs/>
          <w:color w:val="auto"/>
          <w:sz w:val="24"/>
          <w:highlight w:val="none"/>
        </w:rPr>
        <w:t>验收单</w:t>
      </w:r>
      <w:r>
        <w:rPr>
          <w:rFonts w:hint="eastAsia" w:ascii="仿宋_GB2312" w:hAnsi="仿宋" w:eastAsia="仿宋_GB2312" w:cs="宋体"/>
          <w:color w:val="auto"/>
          <w:sz w:val="24"/>
          <w:highlight w:val="none"/>
        </w:rPr>
        <w:t>作为对货物的最终认可。</w:t>
      </w:r>
    </w:p>
    <w:p w14:paraId="6B6969B6">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（四）乙方须向甲方提交货物实施过程中的所有资料，以便甲方日后管理和维护。</w:t>
      </w:r>
    </w:p>
    <w:p w14:paraId="6C9225FF">
      <w:pPr>
        <w:tabs>
          <w:tab w:val="left" w:pos="480"/>
        </w:tabs>
        <w:spacing w:line="40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（五）验收依据：</w:t>
      </w:r>
    </w:p>
    <w:p w14:paraId="2886132C">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1、本合同及附件文本；</w:t>
      </w:r>
    </w:p>
    <w:p w14:paraId="293E65E7">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2、国家相应的标准、规范；</w:t>
      </w:r>
    </w:p>
    <w:p w14:paraId="48F72665">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3、投标文件、澄清表（函）。</w:t>
      </w:r>
    </w:p>
    <w:p w14:paraId="6A087A54">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4、易损配件、备件报价单。</w:t>
      </w:r>
    </w:p>
    <w:p w14:paraId="5AB2275A">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5、XXXX原厂整机XXX年免费质保文件。</w:t>
      </w:r>
    </w:p>
    <w:p w14:paraId="15545536">
      <w:pPr>
        <w:tabs>
          <w:tab w:val="left" w:pos="480"/>
        </w:tabs>
        <w:spacing w:line="400" w:lineRule="exact"/>
        <w:ind w:firstLine="960" w:firstLineChars="4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6、提供质保服务承诺文件。</w:t>
      </w:r>
    </w:p>
    <w:p w14:paraId="1395918C">
      <w:pPr>
        <w:tabs>
          <w:tab w:val="left" w:pos="480"/>
        </w:tabs>
        <w:spacing w:line="460" w:lineRule="exact"/>
        <w:ind w:firstLine="472" w:firstLineChars="196"/>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十一、违约责任</w:t>
      </w:r>
    </w:p>
    <w:p w14:paraId="39185A90">
      <w:pPr>
        <w:pStyle w:val="4"/>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（一）按《政府采购法》、《民法典》中的相关条款执行。</w:t>
      </w:r>
    </w:p>
    <w:p w14:paraId="49984132">
      <w:pPr>
        <w:pStyle w:val="4"/>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乙方未按合同要求提供货物或质量不能满足谈判技术要求，乙方必须无条件免费更换经过更换后仍无法正常使用的，甲方有权解除合同，合同自甲方书面解除通知到达乙方时解除，乙方返还甲方已支付款项，乙方应按照合同总价的30%向甲方支付违约金，赔偿甲方全部损失，否则，甲方会同鉴证方有权终止合同，并对乙方的违约行为报监管机构进行相应的处罚，由此给造成甲方损失的，乙方承担一切赔偿责任。</w:t>
      </w:r>
    </w:p>
    <w:p w14:paraId="754523EA">
      <w:pPr>
        <w:pStyle w:val="4"/>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乙方未按合同要求交货期送达甲方指定地点的，按每逾期1日，扣除合同总金额的1%。逾期超过10个工作日，甲方有权解除合同，合同自甲方书面解除通知到达乙方时解除，乙方应全部返还甲方已支付费用，且乙方应按照合同总价的30%向甲方支付违约金。如给甲方造成损失的，还应根据损失情况赔偿损失（包括但不限于直接经济损失，间接经济损失对第三人违约损失，维权所需律师费，诉讼费，保全费鉴定费等）。</w:t>
      </w:r>
    </w:p>
    <w:p w14:paraId="74E277EB">
      <w:pPr>
        <w:tabs>
          <w:tab w:val="left" w:pos="480"/>
        </w:tabs>
        <w:spacing w:line="460" w:lineRule="exact"/>
        <w:ind w:firstLine="482" w:firstLineChars="200"/>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十二、合同争议解决的方式</w:t>
      </w:r>
    </w:p>
    <w:p w14:paraId="526F6D3E">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本合同在履行过程中发生的争议，由甲、乙双方当事人协商解决，协商不成的依法向甲方所在地人民法院起诉。</w:t>
      </w:r>
    </w:p>
    <w:p w14:paraId="5628DA2A">
      <w:pPr>
        <w:tabs>
          <w:tab w:val="left" w:pos="480"/>
        </w:tabs>
        <w:spacing w:line="460" w:lineRule="exact"/>
        <w:ind w:firstLine="472" w:firstLineChars="196"/>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十三、合同生效</w:t>
      </w:r>
    </w:p>
    <w:p w14:paraId="6C3CC2C0">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本合同一式</w:t>
      </w:r>
      <w:r>
        <w:rPr>
          <w:rFonts w:hint="eastAsia" w:ascii="仿宋_GB2312" w:hAnsi="仿宋" w:eastAsia="仿宋_GB2312" w:cs="宋体"/>
          <w:color w:val="auto"/>
          <w:sz w:val="24"/>
          <w:highlight w:val="none"/>
          <w:u w:val="single"/>
        </w:rPr>
        <w:t xml:space="preserve"> 柒 </w:t>
      </w:r>
      <w:r>
        <w:rPr>
          <w:rFonts w:hint="eastAsia" w:ascii="仿宋_GB2312" w:hAnsi="仿宋" w:eastAsia="仿宋_GB2312" w:cs="宋体"/>
          <w:color w:val="auto"/>
          <w:sz w:val="24"/>
          <w:highlight w:val="none"/>
        </w:rPr>
        <w:t>份，甲方执</w:t>
      </w:r>
      <w:r>
        <w:rPr>
          <w:rFonts w:hint="eastAsia" w:ascii="仿宋_GB2312" w:hAnsi="仿宋" w:eastAsia="仿宋_GB2312" w:cs="宋体"/>
          <w:color w:val="auto"/>
          <w:sz w:val="24"/>
          <w:highlight w:val="none"/>
          <w:u w:val="single"/>
        </w:rPr>
        <w:t xml:space="preserve"> 陆 </w:t>
      </w:r>
      <w:r>
        <w:rPr>
          <w:rFonts w:hint="eastAsia" w:ascii="仿宋_GB2312" w:hAnsi="仿宋" w:eastAsia="仿宋_GB2312" w:cs="宋体"/>
          <w:color w:val="auto"/>
          <w:sz w:val="24"/>
          <w:highlight w:val="none"/>
        </w:rPr>
        <w:t>份、乙方执</w:t>
      </w:r>
      <w:r>
        <w:rPr>
          <w:rFonts w:hint="eastAsia" w:ascii="仿宋_GB2312" w:hAnsi="仿宋" w:eastAsia="仿宋_GB2312" w:cs="宋体"/>
          <w:color w:val="auto"/>
          <w:sz w:val="24"/>
          <w:highlight w:val="none"/>
          <w:u w:val="single"/>
        </w:rPr>
        <w:t xml:space="preserve"> 壹 </w:t>
      </w:r>
      <w:r>
        <w:rPr>
          <w:rFonts w:hint="eastAsia" w:ascii="仿宋_GB2312" w:hAnsi="仿宋" w:eastAsia="仿宋_GB2312" w:cs="宋体"/>
          <w:color w:val="auto"/>
          <w:sz w:val="24"/>
          <w:highlight w:val="none"/>
        </w:rPr>
        <w:t>份，本合同甲、乙双方确认签字、盖章后生效。</w:t>
      </w:r>
    </w:p>
    <w:p w14:paraId="413CF968">
      <w:pPr>
        <w:tabs>
          <w:tab w:val="left" w:pos="480"/>
        </w:tabs>
        <w:spacing w:line="460" w:lineRule="exact"/>
        <w:ind w:firstLine="472" w:firstLineChars="196"/>
        <w:textAlignment w:val="baseline"/>
        <w:rPr>
          <w:rFonts w:hint="eastAsia" w:ascii="仿宋_GB2312" w:hAnsi="仿宋" w:eastAsia="仿宋_GB2312" w:cs="宋体"/>
          <w:b/>
          <w:color w:val="auto"/>
          <w:sz w:val="24"/>
          <w:highlight w:val="none"/>
        </w:rPr>
      </w:pPr>
      <w:r>
        <w:rPr>
          <w:rFonts w:hint="eastAsia" w:ascii="仿宋_GB2312" w:hAnsi="仿宋" w:eastAsia="仿宋_GB2312" w:cs="宋体"/>
          <w:b/>
          <w:color w:val="auto"/>
          <w:sz w:val="24"/>
          <w:highlight w:val="none"/>
        </w:rPr>
        <w:t>十四、其他事项</w:t>
      </w:r>
    </w:p>
    <w:p w14:paraId="5333B5D5">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（一）西安市财政局政府采购管理处在合同的履行期间以及履行期后，可以随时检查项目的执行情况，对采购内容、标准进行调查核实，并对发现的问题进行处理。</w:t>
      </w:r>
    </w:p>
    <w:p w14:paraId="34D3E079">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（二）投标文件、澄清表（函）、合同附件均成为合同不可分割的部分。</w:t>
      </w:r>
    </w:p>
    <w:p w14:paraId="43949D1D">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（三）合同未尽事宜，由甲、乙双方协商，作为合同补充，与原合同具有同等法律效力。</w:t>
      </w:r>
    </w:p>
    <w:p w14:paraId="25AFA0FE">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（四）合同一经签订，不得擅自变更、中止或终止合同。对确需变更、调整或中止、终止合同的，应按规定履行相应的手续。</w:t>
      </w:r>
    </w:p>
    <w:p w14:paraId="53244F0B">
      <w:pPr>
        <w:tabs>
          <w:tab w:val="left" w:pos="480"/>
        </w:tabs>
        <w:spacing w:line="460" w:lineRule="exact"/>
        <w:ind w:firstLine="480" w:firstLineChars="200"/>
        <w:textAlignment w:val="baseline"/>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（五）本合同按照中华人民共和国的现行法律进行解释。</w:t>
      </w:r>
    </w:p>
    <w:p w14:paraId="4BCD96E5">
      <w:pPr>
        <w:tabs>
          <w:tab w:val="left" w:pos="480"/>
        </w:tabs>
        <w:spacing w:line="276" w:lineRule="auto"/>
        <w:rPr>
          <w:rFonts w:hint="eastAsia" w:ascii="仿宋_GB2312" w:hAnsi="仿宋" w:eastAsia="仿宋_GB2312" w:cs="宋体"/>
          <w:color w:val="auto"/>
          <w:sz w:val="24"/>
          <w:highlight w:val="none"/>
        </w:rPr>
      </w:pPr>
    </w:p>
    <w:p w14:paraId="4D4AF4AA">
      <w:pPr>
        <w:tabs>
          <w:tab w:val="left" w:pos="480"/>
        </w:tabs>
        <w:spacing w:line="276" w:lineRule="auto"/>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甲  方（公章）                       乙  方（公章）</w:t>
      </w:r>
    </w:p>
    <w:p w14:paraId="3CCCA417">
      <w:pPr>
        <w:spacing w:line="276" w:lineRule="auto"/>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 xml:space="preserve">单位名称：                               单位名称： </w:t>
      </w:r>
    </w:p>
    <w:p w14:paraId="327BDFC8">
      <w:pPr>
        <w:ind w:left="6360" w:hanging="6360" w:hangingChars="265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地    址：                               地   址：</w:t>
      </w:r>
      <w:r>
        <w:rPr>
          <w:rFonts w:hint="eastAsia" w:ascii="仿宋_GB2312" w:hAnsi="仿宋" w:eastAsia="仿宋_GB2312" w:cs="宋体"/>
          <w:color w:val="auto"/>
          <w:sz w:val="22"/>
          <w:szCs w:val="22"/>
          <w:highlight w:val="none"/>
        </w:rPr>
        <w:t xml:space="preserve"> </w:t>
      </w:r>
    </w:p>
    <w:p w14:paraId="1C2D4D95">
      <w:pPr>
        <w:tabs>
          <w:tab w:val="left" w:pos="480"/>
        </w:tabs>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法定代表人：（签字）                     法定代表人：</w:t>
      </w:r>
    </w:p>
    <w:p w14:paraId="067790BB">
      <w:pPr>
        <w:tabs>
          <w:tab w:val="left" w:pos="480"/>
        </w:tabs>
        <w:spacing w:line="460" w:lineRule="exact"/>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代理人：（签字）                         代  理  人：</w:t>
      </w:r>
    </w:p>
    <w:p w14:paraId="4D30FBFE">
      <w:pPr>
        <w:ind w:left="6240" w:hanging="6240" w:hangingChars="26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 xml:space="preserve">联系电话：                               开户银行： </w:t>
      </w:r>
    </w:p>
    <w:p w14:paraId="13F198F8">
      <w:pPr>
        <w:pStyle w:val="4"/>
        <w:rPr>
          <w:rFonts w:hint="eastAsia" w:ascii="仿宋_GB2312" w:hAnsi="仿宋" w:eastAsia="仿宋_GB2312" w:cs="宋体"/>
          <w:color w:val="auto"/>
          <w:highlight w:val="none"/>
        </w:rPr>
      </w:pPr>
      <w:r>
        <w:rPr>
          <w:rFonts w:hint="eastAsia" w:ascii="仿宋_GB2312" w:hAnsi="仿宋" w:eastAsia="仿宋_GB2312" w:cs="宋体"/>
          <w:color w:val="auto"/>
          <w:highlight w:val="none"/>
        </w:rPr>
        <w:t xml:space="preserve">                                               账     号： </w:t>
      </w:r>
    </w:p>
    <w:p w14:paraId="05AD66A9">
      <w:pPr>
        <w:ind w:left="6840" w:hanging="6840" w:hangingChars="285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 xml:space="preserve">                                         联系电话： </w:t>
      </w:r>
    </w:p>
    <w:p w14:paraId="328B8DA4">
      <w:pPr>
        <w:tabs>
          <w:tab w:val="left" w:pos="480"/>
        </w:tabs>
        <w:spacing w:line="460" w:lineRule="exact"/>
        <w:rPr>
          <w:rFonts w:hint="eastAsia" w:ascii="仿宋_GB2312" w:hAnsi="宋体" w:eastAsia="仿宋_GB2312" w:cs="宋体"/>
          <w:color w:val="auto"/>
          <w:sz w:val="24"/>
          <w:highlight w:val="none"/>
        </w:rPr>
      </w:pPr>
      <w:r>
        <w:rPr>
          <w:rFonts w:hint="eastAsia" w:ascii="仿宋_GB2312" w:hAnsi="仿宋" w:eastAsia="仿宋_GB2312" w:cs="宋体"/>
          <w:color w:val="auto"/>
          <w:sz w:val="24"/>
          <w:highlight w:val="none"/>
        </w:rPr>
        <w:t>签订日期：     年   月   日              签订日期：     年   月    日</w:t>
      </w:r>
    </w:p>
    <w:p w14:paraId="71571992">
      <w:pPr>
        <w:wordWrap w:val="0"/>
        <w:snapToGrid w:val="0"/>
        <w:spacing w:line="360" w:lineRule="auto"/>
        <w:jc w:val="center"/>
        <w:rPr>
          <w:rFonts w:hint="eastAsia" w:ascii="仿宋_GB2312" w:hAnsi="仿宋" w:eastAsia="仿宋_GB2312" w:cs="黑体"/>
          <w:bCs/>
          <w:color w:val="auto"/>
          <w:highlight w:val="none"/>
        </w:rPr>
      </w:pPr>
      <w:bookmarkStart w:id="0" w:name="_Toc202816997"/>
      <w:bookmarkStart w:id="1" w:name="_Toc202820352"/>
      <w:bookmarkStart w:id="2" w:name="_Toc202252035"/>
      <w:bookmarkStart w:id="3" w:name="_Toc202251076"/>
      <w:bookmarkStart w:id="4" w:name="_Toc202251701"/>
      <w:bookmarkStart w:id="5" w:name="_Toc202819879"/>
      <w:bookmarkStart w:id="6" w:name="_Toc202254106"/>
      <w:r>
        <w:rPr>
          <w:rFonts w:hint="eastAsia" w:ascii="仿宋_GB2312" w:hAnsi="仿宋" w:eastAsia="仿宋_GB2312" w:cs="黑体"/>
          <w:bCs/>
          <w:color w:val="auto"/>
          <w:highlight w:val="none"/>
        </w:rPr>
        <w:t xml:space="preserve"> </w:t>
      </w:r>
    </w:p>
    <w:bookmarkEnd w:id="0"/>
    <w:bookmarkEnd w:id="1"/>
    <w:bookmarkEnd w:id="2"/>
    <w:bookmarkEnd w:id="3"/>
    <w:bookmarkEnd w:id="4"/>
    <w:bookmarkEnd w:id="5"/>
    <w:bookmarkEnd w:id="6"/>
    <w:p w14:paraId="4D3AE1DC">
      <w:pPr>
        <w:spacing w:line="500" w:lineRule="exact"/>
        <w:ind w:firstLine="420" w:firstLineChars="200"/>
        <w:rPr>
          <w:rFonts w:hint="eastAsia" w:ascii="仿宋_GB2312" w:hAnsi="仿宋_GB2312" w:eastAsia="仿宋_GB2312" w:cs="仿宋_GB2312"/>
          <w:color w:val="auto"/>
          <w:highlight w:val="none"/>
        </w:rPr>
      </w:pPr>
    </w:p>
    <w:p w14:paraId="66B7B2AF">
      <w:bookmarkStart w:id="7" w:name="_GoBack"/>
      <w:bookmarkEnd w:id="7"/>
    </w:p>
    <w:sectPr>
      <w:pgSz w:w="11906" w:h="16838"/>
      <w:pgMar w:top="1418" w:right="1418"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japaneseCounting"/>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1">
    <w:nsid w:val="00000002"/>
    <w:multiLevelType w:val="multilevel"/>
    <w:tmpl w:val="00000002"/>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053208E"/>
    <w:multiLevelType w:val="singleLevel"/>
    <w:tmpl w:val="0053208E"/>
    <w:lvl w:ilvl="0" w:tentative="0">
      <w:start w:val="1"/>
      <w:numFmt w:val="chineseCounting"/>
      <w:suff w:val="nothing"/>
      <w:lvlText w:val="（%1）"/>
      <w:lvlJc w:val="left"/>
      <w:rPr>
        <w:rFonts w:cs="Times New Roman"/>
      </w:rPr>
    </w:lvl>
  </w:abstractNum>
  <w:abstractNum w:abstractNumId="3">
    <w:nsid w:val="69F4365A"/>
    <w:multiLevelType w:val="singleLevel"/>
    <w:tmpl w:val="69F4365A"/>
    <w:lvl w:ilvl="0" w:tentative="0">
      <w:start w:val="1"/>
      <w:numFmt w:val="decimal"/>
      <w:suff w:val="nothing"/>
      <w:lvlText w:val="%1、"/>
      <w:lvlJc w:val="left"/>
      <w:pPr>
        <w:ind w:left="-120"/>
      </w:pPr>
      <w:rPr>
        <w:rFonts w:hint="default" w:ascii="宋体" w:hAnsi="宋体" w:eastAsia="宋体" w:cs="宋体"/>
        <w:sz w:val="24"/>
        <w:szCs w:val="24"/>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76ABA"/>
    <w:rsid w:val="1DA76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next w:val="3"/>
    <w:unhideWhenUsed/>
    <w:qFormat/>
    <w:uiPriority w:val="99"/>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ind w:left="240" w:right="-1005"/>
    </w:pPr>
    <w:rPr>
      <w:rFonts w:ascii="MingLiU" w:hAnsi="MingLiU" w:eastAsia="MingLiU"/>
    </w:rPr>
  </w:style>
  <w:style w:type="paragraph" w:styleId="3">
    <w:name w:val="Plain Text"/>
    <w:basedOn w:val="1"/>
    <w:qFormat/>
    <w:uiPriority w:val="0"/>
    <w:rPr>
      <w:rFonts w:hAnsi="Courier New" w:cs="Courier New"/>
      <w:szCs w:val="21"/>
    </w:rPr>
  </w:style>
  <w:style w:type="paragraph" w:styleId="4">
    <w:name w:val="annotation text"/>
    <w:basedOn w:val="1"/>
    <w:qFormat/>
    <w:uiPriority w:val="0"/>
    <w:pPr>
      <w:jc w:val="left"/>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styleId="8">
    <w:name w:val="List Paragraph"/>
    <w:basedOn w:val="1"/>
    <w:autoRedefine/>
    <w:qFormat/>
    <w:uiPriority w:val="99"/>
    <w:pPr>
      <w:ind w:firstLine="420" w:firstLineChars="200"/>
    </w:p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2025-09-24T09:13:00Z</dcterms:created>
  <dc:creator>Monster .</dc:creator>
  <cp:lastModifiedBy>Monster .</cp:lastModifiedBy>
  <dcterms:modified xsi:type="dcterms:W3CDTF">2025-09-24T09:14:00Z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79B65AB01AA14EB3B94F8FC0A496B4A7_11</vt:lpwstr>
  </property>
  <property fmtid="{D5CDD505-2E9C-101B-9397-08002B2CF9AE}" pid="4" name="KSOTemplateDocerSaveRecord">
    <vt:lpwstr>eyJoZGlkIjoiOGU3NjRlMjE0NmMwNzhlNDUxOGFiY2U2NWFlZDA2OTIiLCJ1c2VySWQiOiIzNDk5NjQzNjEifQ==</vt:lpwstr>
  </property>
</Properties>
</file>